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="00492520" w:rsidRPr="00492520">
        <w:rPr>
          <w:rFonts w:ascii="Times New Roman" w:hAnsi="Times New Roman" w:cs="Times New Roman"/>
          <w:b/>
          <w:color w:val="auto"/>
          <w:sz w:val="28"/>
          <w:szCs w:val="28"/>
        </w:rPr>
        <w:t>Марьевского</w:t>
      </w:r>
      <w:r w:rsidRPr="004925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Pr="00D92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="00BF5932">
        <w:rPr>
          <w:rFonts w:ascii="Times New Roman" w:hAnsi="Times New Roman" w:cs="Times New Roman"/>
          <w:b/>
          <w:sz w:val="28"/>
          <w:szCs w:val="28"/>
        </w:rPr>
        <w:t xml:space="preserve"> района за 202</w:t>
      </w:r>
      <w:r w:rsidR="00373F81">
        <w:rPr>
          <w:rFonts w:ascii="Times New Roman" w:hAnsi="Times New Roman" w:cs="Times New Roman"/>
          <w:b/>
          <w:sz w:val="28"/>
          <w:szCs w:val="28"/>
        </w:rPr>
        <w:t>3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264FE0" w:rsidRPr="00D27F10" w:rsidRDefault="00F16E8D" w:rsidP="00264FE0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264FE0">
        <w:rPr>
          <w:color w:val="000000" w:themeColor="text1"/>
        </w:rPr>
        <w:t xml:space="preserve">, </w:t>
      </w:r>
      <w:r w:rsidR="00264FE0" w:rsidRPr="00D27F10">
        <w:rPr>
          <w:color w:val="auto"/>
        </w:rPr>
        <w:t>постановления администрации Марьевского сельского поселения муниципального района «Красногвардейский район» от 24 марта 2023 года «Об утверждении Порядка формирования перечня налоговых расходов Марьевского сельского поселения муниципального района «Красногвардейский район» Белгородской области и оценки налоговых расходов Марьевского сельского поселения муниципального района «Красногвардейский район» Белгородской области.</w:t>
      </w:r>
    </w:p>
    <w:p w:rsidR="00C11354" w:rsidRPr="000F6C9C" w:rsidRDefault="00264FE0" w:rsidP="00264FE0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492520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бюджета </w:t>
      </w:r>
      <w:r w:rsidR="00492520" w:rsidRPr="00492520">
        <w:rPr>
          <w:color w:val="auto"/>
        </w:rPr>
        <w:t>Марьевского</w:t>
      </w:r>
      <w:r w:rsidR="00D92772" w:rsidRPr="00492520">
        <w:rPr>
          <w:color w:val="auto"/>
        </w:rPr>
        <w:t xml:space="preserve"> сельского поселения</w:t>
      </w:r>
      <w:r w:rsidRPr="00492520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492520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49252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49252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49252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49252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492520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492520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49252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49252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49252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49252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92520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49252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49252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49252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492520" w:rsidRPr="00492520">
        <w:rPr>
          <w:rFonts w:ascii="Times New Roman" w:hAnsi="Times New Roman" w:cs="Times New Roman"/>
          <w:color w:val="auto"/>
          <w:sz w:val="28"/>
          <w:szCs w:val="28"/>
        </w:rPr>
        <w:t>Марьевского</w:t>
      </w:r>
      <w:r w:rsidR="00D92772" w:rsidRPr="0049252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492520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492520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492520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технические</w:t>
      </w:r>
      <w:r w:rsidR="00492520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:rsidR="00DD2469" w:rsidRPr="00492520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492520">
        <w:rPr>
          <w:color w:val="auto"/>
        </w:rPr>
        <w:t>В 20</w:t>
      </w:r>
      <w:r w:rsidR="00BF5932">
        <w:rPr>
          <w:color w:val="auto"/>
        </w:rPr>
        <w:t>2</w:t>
      </w:r>
      <w:r w:rsidR="00373F81">
        <w:rPr>
          <w:color w:val="auto"/>
        </w:rPr>
        <w:t>3</w:t>
      </w:r>
      <w:r w:rsidRPr="00492520">
        <w:rPr>
          <w:color w:val="auto"/>
        </w:rPr>
        <w:t xml:space="preserve"> году на территории </w:t>
      </w:r>
      <w:r w:rsidR="00492520" w:rsidRPr="00492520">
        <w:rPr>
          <w:color w:val="auto"/>
        </w:rPr>
        <w:t>Марьевского</w:t>
      </w:r>
      <w:r w:rsidR="005D36AC" w:rsidRPr="00492520">
        <w:rPr>
          <w:color w:val="auto"/>
        </w:rPr>
        <w:t xml:space="preserve"> сельского поселения</w:t>
      </w:r>
      <w:r w:rsidRPr="00492520">
        <w:rPr>
          <w:color w:val="auto"/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492520">
        <w:rPr>
          <w:color w:val="auto"/>
          <w:szCs w:val="24"/>
        </w:rPr>
        <w:t xml:space="preserve">Решением земского собрания </w:t>
      </w:r>
      <w:r w:rsidR="00492520" w:rsidRPr="00492520">
        <w:rPr>
          <w:color w:val="auto"/>
        </w:rPr>
        <w:t>Марьевского</w:t>
      </w:r>
      <w:r w:rsidR="00492520" w:rsidRPr="00492520">
        <w:rPr>
          <w:color w:val="auto"/>
          <w:szCs w:val="24"/>
        </w:rPr>
        <w:t xml:space="preserve"> сельского поселения от 05</w:t>
      </w:r>
      <w:r w:rsidRPr="00492520">
        <w:rPr>
          <w:color w:val="auto"/>
          <w:szCs w:val="24"/>
        </w:rPr>
        <w:t xml:space="preserve">.11.2019 № 4 "Об установлении на территории </w:t>
      </w:r>
      <w:r w:rsidR="00492520" w:rsidRPr="00492520">
        <w:rPr>
          <w:color w:val="auto"/>
        </w:rPr>
        <w:t>Марьевского</w:t>
      </w:r>
      <w:r w:rsidRPr="00492520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492520">
        <w:rPr>
          <w:color w:val="auto"/>
          <w:sz w:val="32"/>
        </w:rPr>
        <w:t xml:space="preserve"> </w:t>
      </w:r>
      <w:r w:rsidR="004D23AF" w:rsidRPr="00492520">
        <w:rPr>
          <w:color w:val="auto"/>
        </w:rPr>
        <w:t>(далее – решение о земельном</w:t>
      </w:r>
      <w:r w:rsidR="004D23AF" w:rsidRPr="000F6C9C">
        <w:rPr>
          <w:color w:val="000000" w:themeColor="text1"/>
        </w:rPr>
        <w:t xml:space="preserve"> налоге)</w:t>
      </w:r>
      <w:r w:rsidR="00D7442A" w:rsidRPr="000F6C9C">
        <w:rPr>
          <w:color w:val="000000" w:themeColor="text1"/>
        </w:rPr>
        <w:t xml:space="preserve"> налоговые льготы по земельному налогу установлены для </w:t>
      </w:r>
      <w:r>
        <w:rPr>
          <w:color w:val="auto"/>
        </w:rPr>
        <w:t xml:space="preserve">следующих </w:t>
      </w:r>
      <w:r w:rsidR="00D7442A" w:rsidRPr="000F6C9C">
        <w:rPr>
          <w:color w:val="000000" w:themeColor="text1"/>
        </w:rPr>
        <w:t>категорий налогоплательщиков.</w:t>
      </w:r>
    </w:p>
    <w:p w:rsidR="00CE779A" w:rsidRPr="0043142B" w:rsidRDefault="00CE779A" w:rsidP="00CE779A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CE779A" w:rsidRPr="00A41902" w:rsidRDefault="00CE779A" w:rsidP="00CE779A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  <w:r w:rsidRPr="00A41902">
        <w:rPr>
          <w:b/>
          <w:color w:val="auto"/>
        </w:rPr>
        <w:t>По налогу на имущество.</w:t>
      </w:r>
    </w:p>
    <w:p w:rsidR="00CE779A" w:rsidRPr="00A41902" w:rsidRDefault="00CE779A" w:rsidP="00CE779A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A41902">
        <w:rPr>
          <w:color w:val="auto"/>
        </w:rPr>
        <w:t xml:space="preserve">Решением земского собрания Марьевского сельского поселения от 12.11.2015 № 4 "Об установлении на территории Марьевского сельского поселения муниципального района "Красногвардейский район" Белгородской области налога на имущество физических лиц " (далее – решение о налоге на </w:t>
      </w:r>
      <w:r w:rsidRPr="00A41902">
        <w:rPr>
          <w:color w:val="auto"/>
        </w:rPr>
        <w:lastRenderedPageBreak/>
        <w:t xml:space="preserve">имущество физических лиц) </w:t>
      </w:r>
    </w:p>
    <w:p w:rsidR="00CE779A" w:rsidRPr="00A41902" w:rsidRDefault="00CE779A" w:rsidP="00CE779A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CE779A" w:rsidRPr="00A41902" w:rsidRDefault="00CE779A" w:rsidP="00CE779A">
      <w:pPr>
        <w:spacing w:before="3"/>
        <w:ind w:left="1" w:right="-19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9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решениями </w:t>
      </w:r>
      <w:r w:rsidRPr="00A4190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 социальным налоговым расходам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следующие льготы:</w:t>
      </w:r>
    </w:p>
    <w:p w:rsidR="00264FE0" w:rsidRPr="00D27F10" w:rsidRDefault="00264FE0" w:rsidP="00264FE0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F10">
        <w:rPr>
          <w:rFonts w:ascii="Times New Roman" w:hAnsi="Times New Roman" w:cs="Times New Roman"/>
          <w:sz w:val="28"/>
          <w:szCs w:val="28"/>
        </w:rPr>
        <w:t xml:space="preserve">1) </w:t>
      </w:r>
      <w:r w:rsidRPr="00D27F10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D27F10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264FE0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264FE0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E904F7">
        <w:rPr>
          <w:rFonts w:ascii="Times New Roman" w:hAnsi="Times New Roman"/>
          <w:sz w:val="28"/>
        </w:rPr>
        <w:t>Социалистического труда и полные</w:t>
      </w:r>
      <w:r w:rsidRPr="00B43105">
        <w:rPr>
          <w:rFonts w:ascii="Times New Roman" w:hAnsi="Times New Roman"/>
          <w:sz w:val="28"/>
        </w:rPr>
        <w:t xml:space="preserve"> кавалер</w:t>
      </w:r>
      <w:r w:rsidR="00E904F7">
        <w:rPr>
          <w:rFonts w:ascii="Times New Roman" w:hAnsi="Times New Roman"/>
          <w:sz w:val="28"/>
        </w:rPr>
        <w:t>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</w:t>
      </w:r>
      <w:r w:rsidR="00E904F7">
        <w:rPr>
          <w:rFonts w:ascii="Times New Roman" w:hAnsi="Times New Roman"/>
          <w:sz w:val="28"/>
        </w:rPr>
        <w:t>тывающие детей инвалидов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-Ветераны и</w:t>
      </w:r>
      <w:r w:rsidR="00E904F7">
        <w:rPr>
          <w:rFonts w:ascii="Times New Roman" w:hAnsi="Times New Roman"/>
          <w:sz w:val="28"/>
        </w:rPr>
        <w:t xml:space="preserve"> инвалиды ВОВ, а такж</w:t>
      </w:r>
      <w:r w:rsidR="00D27F10">
        <w:rPr>
          <w:rFonts w:ascii="Times New Roman" w:hAnsi="Times New Roman"/>
          <w:sz w:val="28"/>
        </w:rPr>
        <w:t>е ветераны и инвалид</w:t>
      </w:r>
      <w:r w:rsidR="00E904F7">
        <w:rPr>
          <w:rFonts w:ascii="Times New Roman" w:hAnsi="Times New Roman"/>
          <w:sz w:val="28"/>
        </w:rPr>
        <w:t>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E904F7">
        <w:rPr>
          <w:rFonts w:ascii="Times New Roman" w:hAnsi="Times New Roman"/>
          <w:sz w:val="28"/>
        </w:rPr>
        <w:t>Физические</w:t>
      </w:r>
      <w:r w:rsidRPr="00B43105">
        <w:rPr>
          <w:rFonts w:ascii="Times New Roman" w:hAnsi="Times New Roman"/>
          <w:sz w:val="28"/>
        </w:rPr>
        <w:t xml:space="preserve"> лиц</w:t>
      </w:r>
      <w:r w:rsidR="00E904F7">
        <w:rPr>
          <w:rFonts w:ascii="Times New Roman" w:hAnsi="Times New Roman"/>
          <w:sz w:val="28"/>
        </w:rPr>
        <w:t>а, имеющие</w:t>
      </w:r>
      <w:r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E904F7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Default="00C8366D" w:rsidP="00B43105">
      <w:pPr>
        <w:spacing w:before="3"/>
        <w:ind w:right="-19" w:firstLine="567"/>
        <w:jc w:val="both"/>
        <w:rPr>
          <w:rFonts w:ascii="Times New Roman" w:hAnsi="Times New Roman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3105" w:rsidRPr="00B43105">
        <w:rPr>
          <w:rFonts w:ascii="Times New Roman" w:hAnsi="Times New Roman"/>
          <w:sz w:val="28"/>
          <w:szCs w:val="28"/>
        </w:rPr>
        <w:t>Физические лица, соотв</w:t>
      </w:r>
      <w:r w:rsidR="00E904F7">
        <w:rPr>
          <w:rFonts w:ascii="Times New Roman" w:hAnsi="Times New Roman"/>
          <w:sz w:val="28"/>
          <w:szCs w:val="28"/>
        </w:rPr>
        <w:t>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F238FB" w:rsidRDefault="00F238FB" w:rsidP="00F238FB">
      <w:pPr>
        <w:spacing w:before="3"/>
        <w:ind w:right="-19" w:firstLine="567"/>
        <w:jc w:val="both"/>
        <w:rPr>
          <w:rFonts w:ascii="Times New Roman" w:hAnsi="Times New Roman"/>
          <w:sz w:val="28"/>
          <w:szCs w:val="28"/>
        </w:rPr>
      </w:pPr>
    </w:p>
    <w:p w:rsidR="00F238FB" w:rsidRPr="00A41902" w:rsidRDefault="00F238FB" w:rsidP="00F238F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A41902">
        <w:rPr>
          <w:rFonts w:ascii="Times New Roman" w:hAnsi="Times New Roman" w:cs="Times New Roman"/>
          <w:color w:val="auto"/>
          <w:sz w:val="28"/>
        </w:rPr>
        <w:t>3</w:t>
      </w:r>
      <w:r w:rsidRPr="00A41902">
        <w:rPr>
          <w:rFonts w:ascii="Times New Roman" w:hAnsi="Times New Roman" w:cs="Times New Roman"/>
          <w:color w:val="auto"/>
          <w:sz w:val="28"/>
          <w:u w:val="single"/>
        </w:rPr>
        <w:t xml:space="preserve">) </w:t>
      </w:r>
      <w:r w:rsidRPr="00A41902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Освобождение от уплаты земельного налога за налоговые периоды 2022</w:t>
      </w:r>
      <w:r w:rsidR="00373F81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 xml:space="preserve">-2024 </w:t>
      </w:r>
      <w:r w:rsidRPr="00A41902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годов с даты прекращения использования до даты возобновления использования указанных объектов налогоплательщиком:</w:t>
      </w:r>
      <w:r w:rsidRPr="00A4190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F238FB" w:rsidRPr="00A41902" w:rsidRDefault="00F238FB" w:rsidP="00F238F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A4190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3.1) </w:t>
      </w:r>
      <w:r w:rsidRPr="00A41902">
        <w:rPr>
          <w:rFonts w:ascii="Times New Roman" w:hAnsi="Times New Roman" w:cs="Times New Roman"/>
          <w:color w:val="auto"/>
          <w:sz w:val="28"/>
        </w:rPr>
        <w:t xml:space="preserve">в отношении земельных участков, на которых расположены объекты недвижимого имущества, </w:t>
      </w:r>
      <w:bookmarkStart w:id="0" w:name="_GoBack"/>
      <w:r w:rsidRPr="00A41902">
        <w:rPr>
          <w:rFonts w:ascii="Times New Roman" w:hAnsi="Times New Roman" w:cs="Times New Roman"/>
          <w:color w:val="auto"/>
          <w:sz w:val="28"/>
        </w:rPr>
        <w:t xml:space="preserve">использование которых налогоплательщиком </w:t>
      </w:r>
      <w:r w:rsidRPr="00A41902">
        <w:rPr>
          <w:rFonts w:ascii="Times New Roman" w:hAnsi="Times New Roman" w:cs="Times New Roman"/>
          <w:color w:val="auto"/>
          <w:sz w:val="28"/>
        </w:rPr>
        <w:lastRenderedPageBreak/>
        <w:t>невозможно в связи с использованием для нужд обороны и безопасности Российской Федерации</w:t>
      </w:r>
      <w:bookmarkEnd w:id="0"/>
      <w:r w:rsidRPr="00A41902">
        <w:rPr>
          <w:rFonts w:ascii="Times New Roman" w:hAnsi="Times New Roman" w:cs="Times New Roman"/>
          <w:color w:val="auto"/>
          <w:sz w:val="28"/>
        </w:rPr>
        <w:t>, на период с даты прекращения использования до даты возобновления использования указанных объектов налогоплательщиком;</w:t>
      </w:r>
    </w:p>
    <w:p w:rsidR="00F238FB" w:rsidRPr="00A41902" w:rsidRDefault="00F238FB" w:rsidP="00F238F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A41902">
        <w:rPr>
          <w:rFonts w:ascii="Times New Roman" w:hAnsi="Times New Roman" w:cs="Times New Roman"/>
          <w:color w:val="auto"/>
          <w:sz w:val="28"/>
        </w:rPr>
        <w:t>3.2)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</w:r>
    </w:p>
    <w:p w:rsidR="00F238FB" w:rsidRPr="00A41902" w:rsidRDefault="00F238FB" w:rsidP="00F238F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:rsidR="00F238FB" w:rsidRPr="00A41902" w:rsidRDefault="00F238FB" w:rsidP="00F238F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  <w:u w:val="single"/>
        </w:rPr>
      </w:pPr>
      <w:r w:rsidRPr="00A41902">
        <w:rPr>
          <w:rFonts w:ascii="Times New Roman" w:hAnsi="Times New Roman" w:cs="Times New Roman"/>
          <w:color w:val="auto"/>
          <w:sz w:val="28"/>
        </w:rPr>
        <w:t xml:space="preserve">4) </w:t>
      </w:r>
      <w:r w:rsidRPr="00A41902">
        <w:rPr>
          <w:rFonts w:ascii="Times New Roman" w:hAnsi="Times New Roman" w:cs="Times New Roman"/>
          <w:color w:val="auto"/>
          <w:sz w:val="28"/>
          <w:u w:val="single"/>
        </w:rPr>
        <w:t>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</w:r>
    </w:p>
    <w:p w:rsidR="00F238FB" w:rsidRPr="00A41902" w:rsidRDefault="00F238FB" w:rsidP="00F238F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A41902">
        <w:rPr>
          <w:rFonts w:ascii="Times New Roman" w:hAnsi="Times New Roman" w:cs="Times New Roman"/>
          <w:color w:val="auto"/>
          <w:sz w:val="28"/>
        </w:rPr>
        <w:t>- имущество расположено в сельских населенных пунктах с численностью населения до 1 тысячи человек;</w:t>
      </w:r>
    </w:p>
    <w:p w:rsidR="00F238FB" w:rsidRPr="00A41902" w:rsidRDefault="00F238FB" w:rsidP="00F238F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A41902">
        <w:rPr>
          <w:rFonts w:ascii="Times New Roman" w:hAnsi="Times New Roman" w:cs="Times New Roman"/>
          <w:color w:val="auto"/>
          <w:sz w:val="28"/>
        </w:rPr>
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</w:r>
    </w:p>
    <w:p w:rsidR="00F238FB" w:rsidRPr="00A41902" w:rsidRDefault="00F238FB" w:rsidP="00F238F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:rsidR="00F238FB" w:rsidRPr="00A41902" w:rsidRDefault="00F238FB" w:rsidP="00F238FB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A41902">
        <w:rPr>
          <w:rFonts w:ascii="Times New Roman" w:hAnsi="Times New Roman" w:cs="Times New Roman"/>
          <w:color w:val="auto"/>
          <w:sz w:val="28"/>
        </w:rPr>
        <w:t xml:space="preserve">5) </w:t>
      </w:r>
      <w:r w:rsidRPr="00A41902">
        <w:rPr>
          <w:rFonts w:ascii="Times New Roman" w:hAnsi="Times New Roman" w:cs="Times New Roman"/>
          <w:color w:val="auto"/>
          <w:sz w:val="28"/>
          <w:u w:val="single"/>
        </w:rPr>
        <w:t>Освобождение от уплаты имущественного налога за налоговые периоды 2022</w:t>
      </w:r>
      <w:r w:rsidR="00373F81">
        <w:rPr>
          <w:rFonts w:ascii="Times New Roman" w:hAnsi="Times New Roman" w:cs="Times New Roman"/>
          <w:color w:val="auto"/>
          <w:sz w:val="28"/>
          <w:u w:val="single"/>
        </w:rPr>
        <w:t xml:space="preserve">-2024 </w:t>
      </w:r>
      <w:r w:rsidRPr="00A41902">
        <w:rPr>
          <w:rFonts w:ascii="Times New Roman" w:hAnsi="Times New Roman" w:cs="Times New Roman"/>
          <w:color w:val="auto"/>
          <w:sz w:val="28"/>
          <w:u w:val="single"/>
        </w:rPr>
        <w:t>годов с даты прекращения использования до даты возобновления использования указанных объектов налогоплательщиком</w:t>
      </w:r>
      <w:r w:rsidRPr="00A41902">
        <w:rPr>
          <w:rFonts w:ascii="Times New Roman" w:hAnsi="Times New Roman" w:cs="Times New Roman"/>
          <w:color w:val="auto"/>
          <w:sz w:val="28"/>
        </w:rPr>
        <w:t>:</w:t>
      </w:r>
    </w:p>
    <w:p w:rsidR="00F238FB" w:rsidRPr="00A41902" w:rsidRDefault="00F238FB" w:rsidP="00F238FB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налогоплательщиком;</w:t>
      </w:r>
    </w:p>
    <w:p w:rsidR="00F238FB" w:rsidRPr="00A41902" w:rsidRDefault="00F238FB" w:rsidP="00F238FB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A41902">
        <w:rPr>
          <w:rFonts w:ascii="Times New Roman" w:hAnsi="Times New Roman" w:cs="Times New Roman"/>
          <w:color w:val="auto"/>
          <w:sz w:val="28"/>
          <w:szCs w:val="28"/>
        </w:rPr>
        <w:t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F238FB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238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3CE" w:rsidRPr="000F6C9C" w:rsidRDefault="00A123CE" w:rsidP="00A123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</w:p>
    <w:p w:rsidR="00332F75" w:rsidRDefault="00332F7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8FB" w:rsidRPr="000F6C9C" w:rsidRDefault="00F238FB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492520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492520" w:rsidRPr="00492520">
        <w:rPr>
          <w:b/>
          <w:color w:val="auto"/>
        </w:rPr>
        <w:t>Марьевского</w:t>
      </w:r>
      <w:r w:rsidR="00332F75" w:rsidRPr="00492520">
        <w:rPr>
          <w:b/>
          <w:color w:val="auto"/>
        </w:rPr>
        <w:t xml:space="preserve"> сельского поселения Красногвардейского района</w:t>
      </w:r>
    </w:p>
    <w:p w:rsidR="00EA0FA4" w:rsidRPr="00492520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623EEC">
              <w:rPr>
                <w:rFonts w:ascii="Times New Roman" w:hAnsi="Times New Roman"/>
                <w:sz w:val="28"/>
              </w:rPr>
              <w:t>жбы двадцать лет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623EEC">
              <w:rPr>
                <w:rFonts w:ascii="Times New Roman" w:hAnsi="Times New Roman"/>
                <w:sz w:val="28"/>
              </w:rPr>
              <w:t>рганов 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623EEC">
              <w:rPr>
                <w:rFonts w:ascii="Times New Roman" w:hAnsi="Times New Roman"/>
                <w:sz w:val="28"/>
              </w:rPr>
              <w:t>Социалистического труда и полные</w:t>
            </w:r>
            <w:r w:rsidRPr="00B43105">
              <w:rPr>
                <w:rFonts w:ascii="Times New Roman" w:hAnsi="Times New Roman"/>
                <w:sz w:val="28"/>
              </w:rPr>
              <w:t xml:space="preserve"> </w:t>
            </w:r>
            <w:r w:rsidR="00623EEC">
              <w:rPr>
                <w:rFonts w:ascii="Times New Roman" w:hAnsi="Times New Roman"/>
                <w:sz w:val="28"/>
              </w:rPr>
              <w:t>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623EEC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623EEC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623EEC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</w:t>
            </w:r>
            <w:r w:rsidR="00332F75" w:rsidRPr="00B43105">
              <w:rPr>
                <w:rFonts w:ascii="Times New Roman" w:hAnsi="Times New Roman"/>
                <w:sz w:val="28"/>
              </w:rPr>
              <w:t>, имеющих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623EEC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623EEC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492520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492520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F238FB" w:rsidRPr="000F6C9C" w:rsidTr="00E4223E">
        <w:tc>
          <w:tcPr>
            <w:tcW w:w="5211" w:type="dxa"/>
          </w:tcPr>
          <w:p w:rsidR="00F238FB" w:rsidRPr="00A41902" w:rsidRDefault="00F238FB" w:rsidP="00E33A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A41902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3.Освобождение от уплаты земельного налога за налоговые периоды 2022</w:t>
            </w:r>
            <w:r w:rsidR="00373F81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-2024</w:t>
            </w:r>
            <w:r w:rsidRPr="00A41902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годов с даты прекращения использования до даты возобновления использования указанных объектов налогоплательщиком: </w:t>
            </w:r>
          </w:p>
          <w:p w:rsidR="00F238FB" w:rsidRPr="00A41902" w:rsidRDefault="00F238FB" w:rsidP="00E33A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A41902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3.1) </w:t>
            </w:r>
            <w:r w:rsidRPr="00A41902">
              <w:rPr>
                <w:rFonts w:ascii="Times New Roman" w:hAnsi="Times New Roman" w:cs="Times New Roman"/>
                <w:color w:val="auto"/>
                <w:sz w:val="28"/>
              </w:rPr>
              <w:t>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      </w:r>
          </w:p>
          <w:p w:rsidR="00F238FB" w:rsidRPr="00A41902" w:rsidRDefault="00F238FB" w:rsidP="00E33ACC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8"/>
              </w:rPr>
              <w:t xml:space="preserve">3.2) налогоплательщики в отношении земельных участков, на которых расположены объекты недвижимого имущества, использование которых </w:t>
            </w:r>
            <w:r w:rsidRPr="00A41902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      </w:r>
          </w:p>
          <w:p w:rsidR="00F238FB" w:rsidRPr="00A41902" w:rsidRDefault="00F238FB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</w:p>
        </w:tc>
        <w:tc>
          <w:tcPr>
            <w:tcW w:w="2552" w:type="dxa"/>
          </w:tcPr>
          <w:p w:rsidR="00F238FB" w:rsidRPr="000F6C9C" w:rsidRDefault="00F238FB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F238FB" w:rsidRPr="000F6C9C" w:rsidRDefault="00F238FB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F238FB" w:rsidRPr="000F6C9C" w:rsidTr="00E4223E">
        <w:tc>
          <w:tcPr>
            <w:tcW w:w="5211" w:type="dxa"/>
          </w:tcPr>
          <w:p w:rsidR="00F238FB" w:rsidRPr="00A41902" w:rsidRDefault="00F238FB" w:rsidP="00E33ACC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4) 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      </w:r>
          </w:p>
          <w:p w:rsidR="00F238FB" w:rsidRPr="00A41902" w:rsidRDefault="00F238FB" w:rsidP="00E33ACC">
            <w:pPr>
              <w:spacing w:before="3" w:line="276" w:lineRule="auto"/>
              <w:ind w:right="-19" w:firstLine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8"/>
              </w:rPr>
              <w:t xml:space="preserve">- имущество расположено в сельских населенных пунктах с численностью </w:t>
            </w:r>
            <w:r w:rsidRPr="00A41902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населения до 1 тысячи человек;</w:t>
            </w:r>
          </w:p>
          <w:p w:rsidR="00F238FB" w:rsidRPr="00A41902" w:rsidRDefault="00F238FB" w:rsidP="00E33ACC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A41902">
              <w:rPr>
                <w:color w:val="auto"/>
              </w:rPr>
      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</w:tc>
        <w:tc>
          <w:tcPr>
            <w:tcW w:w="2552" w:type="dxa"/>
          </w:tcPr>
          <w:p w:rsidR="00F238FB" w:rsidRPr="000F6C9C" w:rsidRDefault="00F238FB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F238FB" w:rsidRPr="000F6C9C" w:rsidRDefault="00F238FB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F238FB" w:rsidRPr="000F6C9C" w:rsidTr="00E4223E">
        <w:tc>
          <w:tcPr>
            <w:tcW w:w="5211" w:type="dxa"/>
          </w:tcPr>
          <w:p w:rsidR="00F238FB" w:rsidRPr="00A41902" w:rsidRDefault="00F238FB" w:rsidP="00E33AC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5) Освобождение от уплаты имущественного налога за налоговые периоды 2022</w:t>
            </w:r>
            <w:r w:rsidR="00373F81">
              <w:rPr>
                <w:rFonts w:ascii="Times New Roman" w:hAnsi="Times New Roman" w:cs="Times New Roman"/>
                <w:color w:val="auto"/>
                <w:sz w:val="28"/>
              </w:rPr>
              <w:t>-2024</w:t>
            </w:r>
            <w:r w:rsidRPr="00A41902">
              <w:rPr>
                <w:rFonts w:ascii="Times New Roman" w:hAnsi="Times New Roman" w:cs="Times New Roman"/>
                <w:color w:val="auto"/>
                <w:sz w:val="28"/>
              </w:rPr>
              <w:t xml:space="preserve"> годов с даты прекращения использования до даты возобновления использования указанных объектов налогоплательщиком:</w:t>
            </w:r>
          </w:p>
          <w:p w:rsidR="00F238FB" w:rsidRPr="00A41902" w:rsidRDefault="00F238FB" w:rsidP="00E33AC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      </w:r>
          </w:p>
          <w:p w:rsidR="00F238FB" w:rsidRPr="00A41902" w:rsidRDefault="00F238FB" w:rsidP="00E33ACC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A41902">
              <w:rPr>
                <w:color w:val="auto"/>
              </w:rPr>
              <w:t xml:space="preserve"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</w:t>
            </w:r>
            <w:r w:rsidRPr="00A41902">
              <w:rPr>
                <w:color w:val="auto"/>
              </w:rPr>
              <w:lastRenderedPageBreak/>
              <w:t>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</w:tc>
        <w:tc>
          <w:tcPr>
            <w:tcW w:w="2552" w:type="dxa"/>
          </w:tcPr>
          <w:p w:rsidR="00F238FB" w:rsidRPr="000F6C9C" w:rsidRDefault="00F238FB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F238FB" w:rsidRPr="000F6C9C" w:rsidRDefault="00F238FB" w:rsidP="00E33AC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F238FB" w:rsidRPr="00A41902" w:rsidRDefault="00F238FB" w:rsidP="00F238FB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902">
        <w:rPr>
          <w:rFonts w:ascii="Times New Roman" w:hAnsi="Times New Roman" w:cs="Times New Roman"/>
          <w:color w:val="auto"/>
          <w:sz w:val="28"/>
          <w:szCs w:val="28"/>
        </w:rPr>
        <w:t>Согласно данным приложения №1 (здесь и далее цифровые значения для анализа берутся из данного приложения) общий объем налогового расхода по земельному налогу за 202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физических лиц, составил 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по земельному налогу, или 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109,38% к уровню 2022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налогового расхода в общей величине налога, предъявленного к уплате физическими лицами, составляет 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13,9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%) и 0 тыс. рублей по налогу на имущество физических лиц (доля налогового расхода в общей величине налога, предъявленного к уплате физическими лицами, составляет 0%). </w:t>
      </w:r>
    </w:p>
    <w:p w:rsidR="00F238FB" w:rsidRPr="00A41902" w:rsidRDefault="00F238FB" w:rsidP="00F238FB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по земельному налогу составило 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57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101,79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в общем количестве налогоплательщиков составляет 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22,3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%). Количество льготников по налогу на имущество физических лиц составило 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 человек (доля в общем количестве налогоплательщиков составляет </w:t>
      </w:r>
      <w:r w:rsidR="00373F81">
        <w:rPr>
          <w:rFonts w:ascii="Times New Roman" w:hAnsi="Times New Roman" w:cs="Times New Roman"/>
          <w:color w:val="auto"/>
          <w:sz w:val="28"/>
          <w:szCs w:val="28"/>
        </w:rPr>
        <w:t>1,1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EA0FA4" w:rsidRPr="00D27F10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492520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492520">
        <w:rPr>
          <w:b/>
          <w:bCs/>
          <w:color w:val="auto"/>
        </w:rPr>
        <w:t>1.1.3 Отсутствие значимых отрицательных внешних эффектов:</w:t>
      </w:r>
    </w:p>
    <w:p w:rsidR="00A77DC5" w:rsidRPr="00492520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политики </w:t>
      </w:r>
      <w:r w:rsidRPr="00492520">
        <w:rPr>
          <w:rStyle w:val="FontStyle38"/>
          <w:color w:val="auto"/>
          <w:sz w:val="28"/>
          <w:szCs w:val="28"/>
        </w:rPr>
        <w:t xml:space="preserve">как </w:t>
      </w:r>
      <w:r w:rsidR="00492520" w:rsidRPr="00492520">
        <w:rPr>
          <w:color w:val="auto"/>
        </w:rPr>
        <w:t>Марьевского</w:t>
      </w:r>
      <w:r w:rsidR="0023778C" w:rsidRPr="00492520">
        <w:rPr>
          <w:color w:val="auto"/>
        </w:rPr>
        <w:t xml:space="preserve"> сельского поселения</w:t>
      </w:r>
      <w:r w:rsidRPr="00492520">
        <w:rPr>
          <w:rStyle w:val="FontStyle38"/>
          <w:color w:val="auto"/>
          <w:sz w:val="28"/>
          <w:szCs w:val="28"/>
        </w:rPr>
        <w:t>,</w:t>
      </w:r>
      <w:r w:rsidRPr="0023778C">
        <w:rPr>
          <w:rStyle w:val="FontStyle38"/>
          <w:sz w:val="28"/>
          <w:szCs w:val="28"/>
        </w:rPr>
        <w:t xml:space="preserve"> так и </w:t>
      </w:r>
      <w:r w:rsidR="0023778C" w:rsidRPr="0023778C">
        <w:t>Красногвардейского муниципального района</w:t>
      </w:r>
      <w:r w:rsidRPr="0023778C">
        <w:rPr>
          <w:rStyle w:val="FontStyle38"/>
          <w:sz w:val="28"/>
          <w:szCs w:val="28"/>
        </w:rPr>
        <w:t xml:space="preserve"> в целом,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</w:t>
      </w:r>
      <w:r w:rsidRPr="000F6C9C">
        <w:rPr>
          <w:rFonts w:ascii="Times New Roman" w:hAnsi="Times New Roman" w:cs="Times New Roman"/>
          <w:sz w:val="28"/>
          <w:szCs w:val="28"/>
        </w:rPr>
        <w:lastRenderedPageBreak/>
        <w:t>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094665" w:rsidRDefault="00EA0FA4" w:rsidP="0009466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  <w:r w:rsidR="00094665" w:rsidRPr="000946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4665" w:rsidRPr="00A41902" w:rsidRDefault="00094665" w:rsidP="0009466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902">
        <w:rPr>
          <w:rFonts w:ascii="Times New Roman" w:hAnsi="Times New Roman" w:cs="Times New Roman"/>
          <w:color w:val="auto"/>
          <w:sz w:val="28"/>
          <w:szCs w:val="28"/>
        </w:rPr>
        <w:t>- за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auto"/>
          <w:sz w:val="28"/>
          <w:szCs w:val="28"/>
        </w:rPr>
        <w:t>0,61</w:t>
      </w:r>
      <w:r w:rsidRPr="00A41902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</w:t>
      </w:r>
    </w:p>
    <w:p w:rsidR="00727324" w:rsidRPr="00A41902" w:rsidRDefault="00727324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902">
        <w:rPr>
          <w:rFonts w:ascii="Times New Roman" w:hAnsi="Times New Roman" w:cs="Times New Roman"/>
          <w:color w:val="auto"/>
          <w:sz w:val="28"/>
          <w:szCs w:val="28"/>
        </w:rPr>
        <w:t>- за 2022 год – 0,57 тыс. рублей,</w:t>
      </w:r>
    </w:p>
    <w:p w:rsidR="002A652B" w:rsidRPr="00D27F10" w:rsidRDefault="002A652B" w:rsidP="002A652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7F10">
        <w:rPr>
          <w:rFonts w:ascii="Times New Roman" w:hAnsi="Times New Roman" w:cs="Times New Roman"/>
          <w:color w:val="auto"/>
          <w:sz w:val="28"/>
          <w:szCs w:val="28"/>
        </w:rPr>
        <w:t>- за 2021 год – 0,26 тыс. рублей,</w:t>
      </w:r>
    </w:p>
    <w:p w:rsidR="002310B6" w:rsidRPr="00492520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520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492520" w:rsidRPr="00492520">
        <w:rPr>
          <w:rFonts w:ascii="Times New Roman" w:hAnsi="Times New Roman" w:cs="Times New Roman"/>
          <w:color w:val="auto"/>
          <w:sz w:val="28"/>
          <w:szCs w:val="28"/>
        </w:rPr>
        <w:t>0,52</w:t>
      </w:r>
      <w:r w:rsidR="0093443E" w:rsidRPr="0049252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492520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2A652B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B5832" w:rsidRPr="00492520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520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492520" w:rsidRPr="00492520">
        <w:rPr>
          <w:rFonts w:ascii="Times New Roman" w:hAnsi="Times New Roman" w:cs="Times New Roman"/>
          <w:color w:val="auto"/>
          <w:sz w:val="28"/>
          <w:szCs w:val="28"/>
        </w:rPr>
        <w:t>0,54</w:t>
      </w:r>
      <w:r w:rsidRPr="004925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492520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492520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20">
        <w:rPr>
          <w:rFonts w:ascii="Times New Roman" w:hAnsi="Times New Roman" w:cs="Times New Roman"/>
          <w:color w:val="auto"/>
          <w:sz w:val="28"/>
          <w:szCs w:val="28"/>
        </w:rPr>
        <w:t xml:space="preserve">В связи </w:t>
      </w:r>
      <w:r w:rsidR="00487F92" w:rsidRPr="00492520">
        <w:rPr>
          <w:rFonts w:ascii="Times New Roman" w:hAnsi="Times New Roman" w:cs="Times New Roman"/>
          <w:color w:val="auto"/>
          <w:sz w:val="28"/>
          <w:szCs w:val="28"/>
        </w:rPr>
        <w:t>этим</w:t>
      </w:r>
      <w:r w:rsidRPr="00492520">
        <w:rPr>
          <w:rFonts w:ascii="Times New Roman" w:hAnsi="Times New Roman" w:cs="Times New Roman"/>
          <w:color w:val="auto"/>
          <w:sz w:val="28"/>
          <w:szCs w:val="28"/>
        </w:rPr>
        <w:t>, действие налогового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93443E" w:rsidRPr="00D27F10" w:rsidRDefault="00767D1C" w:rsidP="00D27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492520" w:rsidRPr="00492520">
        <w:rPr>
          <w:b/>
          <w:color w:val="auto"/>
        </w:rPr>
        <w:t>Марьевского</w:t>
      </w:r>
      <w:r w:rsidR="00E921C3" w:rsidRPr="00492520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</w:t>
      </w:r>
      <w:r w:rsidRPr="000F6C9C">
        <w:rPr>
          <w:bCs/>
          <w:color w:val="000000" w:themeColor="text1"/>
          <w:sz w:val="28"/>
          <w:szCs w:val="28"/>
        </w:rPr>
        <w:lastRenderedPageBreak/>
        <w:t xml:space="preserve">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492520" w:rsidRPr="00492520">
        <w:rPr>
          <w:b/>
          <w:color w:val="auto"/>
        </w:rPr>
        <w:t>Марьевского</w:t>
      </w:r>
      <w:r w:rsidR="00E4223E" w:rsidRPr="00492520">
        <w:rPr>
          <w:b/>
          <w:color w:val="auto"/>
        </w:rPr>
        <w:t xml:space="preserve"> 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C34D81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D4A03" w:rsidRPr="000F6C9C" w:rsidRDefault="00AD4A03" w:rsidP="00AD4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C34D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46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льгота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земельного налога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предоставлена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Областному государственному специализированному автономному учреждению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</w:t>
      </w:r>
      <w:r w:rsidRPr="00AC4A7E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финансируемому</w:t>
      </w:r>
      <w:r w:rsidRPr="000F6C9C">
        <w:rPr>
          <w:rFonts w:ascii="Times New Roman" w:hAnsi="Times New Roman" w:cs="Times New Roman"/>
          <w:sz w:val="28"/>
          <w:szCs w:val="28"/>
        </w:rPr>
        <w:t xml:space="preserve">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7E" w:rsidRPr="000F6C9C" w:rsidRDefault="00AD4A03" w:rsidP="00AC4A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4665">
        <w:rPr>
          <w:rFonts w:ascii="Times New Roman" w:hAnsi="Times New Roman" w:cs="Times New Roman"/>
          <w:sz w:val="28"/>
          <w:szCs w:val="28"/>
        </w:rPr>
        <w:t>3</w:t>
      </w:r>
      <w:r w:rsidR="00D02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д</w:t>
      </w:r>
      <w:r w:rsidR="00DF43F0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ая организация  не воспользовала</w:t>
      </w:r>
      <w:r w:rsidR="00DF43F0">
        <w:rPr>
          <w:rFonts w:ascii="Times New Roman" w:hAnsi="Times New Roman" w:cs="Times New Roman"/>
          <w:sz w:val="28"/>
          <w:szCs w:val="28"/>
        </w:rPr>
        <w:t>сь правом на получение налоговой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492520" w:rsidRPr="0021191F">
        <w:rPr>
          <w:rFonts w:ascii="Times New Roman" w:hAnsi="Times New Roman" w:cs="Times New Roman"/>
          <w:color w:val="auto"/>
          <w:sz w:val="28"/>
          <w:szCs w:val="28"/>
        </w:rPr>
        <w:t>Марьевского</w:t>
      </w:r>
      <w:r w:rsidRPr="0021191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E921C3">
        <w:rPr>
          <w:rStyle w:val="FontStyle38"/>
          <w:sz w:val="28"/>
          <w:szCs w:val="28"/>
        </w:rPr>
        <w:t xml:space="preserve">,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«Лесопожарный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«Лесопожарный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«Лесопожарный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CA1534" w:rsidRDefault="00CA1534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CA1534" w:rsidRDefault="00CA1534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CA1534" w:rsidRDefault="00CA1534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 расходов</w:t>
      </w:r>
      <w:r w:rsidRPr="000F6C9C">
        <w:rPr>
          <w:b/>
          <w:bCs/>
        </w:rPr>
        <w:t xml:space="preserve"> </w:t>
      </w:r>
      <w:r w:rsidR="00492520" w:rsidRPr="0021191F">
        <w:rPr>
          <w:b/>
          <w:color w:val="auto"/>
        </w:rPr>
        <w:t>Марьевского</w:t>
      </w:r>
      <w:r w:rsidR="00E921C3" w:rsidRPr="0021191F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094665" w:rsidRDefault="00094665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094665" w:rsidRPr="000F6C9C" w:rsidRDefault="00094665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D27F10" w:rsidRDefault="00D27F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D27F10" w:rsidRDefault="00D27F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C34D81" w:rsidRPr="000F6C9C" w:rsidRDefault="00C34D81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C34D81" w:rsidRPr="00D27F10" w:rsidRDefault="00C34D81" w:rsidP="00C34D81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r w:rsidRPr="00D27F10">
        <w:rPr>
          <w:color w:val="auto"/>
        </w:rPr>
        <w:t>3</w:t>
      </w:r>
      <w:r w:rsidR="00094665">
        <w:rPr>
          <w:color w:val="auto"/>
        </w:rPr>
        <w:t>0</w:t>
      </w:r>
      <w:r w:rsidRPr="00D27F10">
        <w:rPr>
          <w:color w:val="auto"/>
        </w:rPr>
        <w:t xml:space="preserve"> мая 202</w:t>
      </w:r>
      <w:r w:rsidR="00094665">
        <w:rPr>
          <w:color w:val="auto"/>
        </w:rPr>
        <w:t>5</w:t>
      </w:r>
      <w:r w:rsidRPr="00D27F10">
        <w:rPr>
          <w:color w:val="auto"/>
        </w:rPr>
        <w:t xml:space="preserve"> года</w:t>
      </w: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A78FF" w:rsidRPr="0019301C" w:rsidRDefault="009A78FF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</w:rPr>
      </w:pPr>
    </w:p>
    <w:p w:rsidR="009C0A68" w:rsidRPr="000F6C9C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  <w:bookmarkStart w:id="1" w:name="P25"/>
      <w:bookmarkEnd w:id="1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587983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</w:t>
      </w:r>
      <w:r w:rsidRPr="002119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бюджета </w:t>
      </w:r>
      <w:r w:rsidR="00492520" w:rsidRPr="0021191F">
        <w:rPr>
          <w:rFonts w:ascii="Times New Roman" w:hAnsi="Times New Roman" w:cs="Times New Roman"/>
          <w:b/>
          <w:color w:val="auto"/>
          <w:sz w:val="28"/>
          <w:szCs w:val="28"/>
        </w:rPr>
        <w:t>Марьевского</w:t>
      </w:r>
      <w:r w:rsidR="005F1BE9" w:rsidRPr="002119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C34D81">
        <w:rPr>
          <w:rFonts w:ascii="Times New Roman" w:hAnsi="Times New Roman" w:cs="Times New Roman"/>
          <w:b/>
          <w:sz w:val="28"/>
          <w:szCs w:val="28"/>
        </w:rPr>
        <w:t>2</w:t>
      </w:r>
      <w:r w:rsidR="0009466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18"/>
        <w:gridCol w:w="2250"/>
        <w:gridCol w:w="2410"/>
        <w:gridCol w:w="2268"/>
        <w:gridCol w:w="3544"/>
      </w:tblGrid>
      <w:tr w:rsidR="00CA1534" w:rsidRPr="00A00659" w:rsidTr="00C34D81">
        <w:tc>
          <w:tcPr>
            <w:tcW w:w="567" w:type="dxa"/>
            <w:vAlign w:val="center"/>
          </w:tcPr>
          <w:p w:rsidR="00CA1534" w:rsidRPr="000B42D9" w:rsidRDefault="00CA1534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696" w:type="dxa"/>
            <w:gridSpan w:val="2"/>
            <w:vAlign w:val="center"/>
          </w:tcPr>
          <w:p w:rsidR="00CA1534" w:rsidRPr="000B42D9" w:rsidRDefault="00CA1534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250" w:type="dxa"/>
            <w:vAlign w:val="center"/>
          </w:tcPr>
          <w:p w:rsidR="00CA1534" w:rsidRPr="000B42D9" w:rsidRDefault="00CA1534" w:rsidP="00E33ACC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094665">
              <w:rPr>
                <w:b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A1534" w:rsidRPr="000B42D9" w:rsidRDefault="00CA1534" w:rsidP="00094665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094665"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A1534" w:rsidRPr="000B42D9" w:rsidRDefault="00CA1534" w:rsidP="00094665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094665">
              <w:rPr>
                <w:b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CA1534" w:rsidRPr="000B42D9" w:rsidRDefault="00CA1534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771F6">
        <w:tc>
          <w:tcPr>
            <w:tcW w:w="15735" w:type="dxa"/>
            <w:gridSpan w:val="7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771F6">
        <w:tc>
          <w:tcPr>
            <w:tcW w:w="15735" w:type="dxa"/>
            <w:gridSpan w:val="7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6"/>
            <w:vAlign w:val="center"/>
          </w:tcPr>
          <w:p w:rsidR="00B86B1C" w:rsidRPr="00A41902" w:rsidRDefault="00294607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 xml:space="preserve">Наименование льготной категории получателей налоговых льгот: </w:t>
            </w:r>
          </w:p>
          <w:p w:rsidR="00B86B1C" w:rsidRPr="00A4190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A4190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 xml:space="preserve">-Инвалиды I и II групп инвалидности;   </w:t>
            </w:r>
          </w:p>
          <w:p w:rsidR="00B86B1C" w:rsidRPr="00A4190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A4190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D27F10" w:rsidRPr="00A41902">
              <w:rPr>
                <w:rFonts w:ascii="Times New Roman" w:hAnsi="Times New Roman" w:cs="Times New Roman"/>
                <w:color w:val="auto"/>
              </w:rPr>
              <w:t>жбы двадцать лет и более. Члены</w:t>
            </w:r>
            <w:r w:rsidRPr="00A41902">
              <w:rPr>
                <w:rFonts w:ascii="Times New Roman" w:hAnsi="Times New Roman" w:cs="Times New Roman"/>
                <w:color w:val="auto"/>
              </w:rPr>
              <w:t xml:space="preserve"> семей военнослужащих и сотрудников о</w:t>
            </w:r>
            <w:r w:rsidR="00D27F10" w:rsidRPr="00A41902">
              <w:rPr>
                <w:rFonts w:ascii="Times New Roman" w:hAnsi="Times New Roman" w:cs="Times New Roman"/>
                <w:color w:val="auto"/>
              </w:rPr>
              <w:t>рганов внутренних дел потерявшие</w:t>
            </w:r>
            <w:r w:rsidRPr="00A41902">
              <w:rPr>
                <w:rFonts w:ascii="Times New Roman" w:hAnsi="Times New Roman" w:cs="Times New Roman"/>
                <w:color w:val="auto"/>
              </w:rPr>
              <w:t xml:space="preserve"> кормильца при исполнении служебных обязанностей; </w:t>
            </w:r>
          </w:p>
          <w:p w:rsidR="00B86B1C" w:rsidRPr="00A4190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A4190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 xml:space="preserve">- Инвалиды с детства; </w:t>
            </w:r>
          </w:p>
          <w:p w:rsidR="00B86B1C" w:rsidRPr="00A4190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- Семьи, воспи</w:t>
            </w:r>
            <w:r w:rsidR="00D27F10" w:rsidRPr="00A41902">
              <w:rPr>
                <w:rFonts w:ascii="Times New Roman" w:hAnsi="Times New Roman" w:cs="Times New Roman"/>
                <w:color w:val="auto"/>
              </w:rPr>
              <w:t>тывающие детей инвалидов и семьи</w:t>
            </w:r>
            <w:r w:rsidRPr="00A41902">
              <w:rPr>
                <w:rFonts w:ascii="Times New Roman" w:hAnsi="Times New Roman" w:cs="Times New Roman"/>
                <w:color w:val="auto"/>
              </w:rPr>
              <w:t xml:space="preserve">, где есть родители инвалиды; </w:t>
            </w:r>
          </w:p>
          <w:p w:rsidR="00B86B1C" w:rsidRPr="00A4190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-Ветераны и</w:t>
            </w:r>
            <w:r w:rsidR="00D27F10" w:rsidRPr="00A41902">
              <w:rPr>
                <w:rFonts w:ascii="Times New Roman" w:hAnsi="Times New Roman" w:cs="Times New Roman"/>
                <w:color w:val="auto"/>
              </w:rPr>
              <w:t xml:space="preserve"> инвалиды ВОВ, а также ветераны и инвалиды</w:t>
            </w:r>
            <w:r w:rsidRPr="00A41902">
              <w:rPr>
                <w:rFonts w:ascii="Times New Roman" w:hAnsi="Times New Roman" w:cs="Times New Roman"/>
                <w:color w:val="auto"/>
              </w:rPr>
              <w:t xml:space="preserve"> боевых действий; </w:t>
            </w:r>
          </w:p>
          <w:p w:rsidR="00B86B1C" w:rsidRPr="00A41902" w:rsidRDefault="00D27F10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-Физические</w:t>
            </w:r>
            <w:r w:rsidR="00B86B1C" w:rsidRPr="00A41902">
              <w:rPr>
                <w:rFonts w:ascii="Times New Roman" w:hAnsi="Times New Roman" w:cs="Times New Roman"/>
                <w:color w:val="auto"/>
              </w:rPr>
              <w:t xml:space="preserve"> лиц</w:t>
            </w:r>
            <w:r w:rsidRPr="00A41902">
              <w:rPr>
                <w:rFonts w:ascii="Times New Roman" w:hAnsi="Times New Roman" w:cs="Times New Roman"/>
                <w:color w:val="auto"/>
              </w:rPr>
              <w:t>а, имеющие</w:t>
            </w:r>
            <w:r w:rsidR="00B86B1C" w:rsidRPr="00A41902">
              <w:rPr>
                <w:rFonts w:ascii="Times New Roman" w:hAnsi="Times New Roman" w:cs="Times New Roman"/>
                <w:color w:val="auto"/>
              </w:rPr>
              <w:t xml:space="preserve"> трех и более несовершеннолетних детей;</w:t>
            </w:r>
          </w:p>
          <w:p w:rsidR="00294607" w:rsidRPr="00A41902" w:rsidRDefault="00B86B1C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- Мног</w:t>
            </w:r>
            <w:r w:rsidR="00D27F10" w:rsidRPr="00A41902">
              <w:rPr>
                <w:rFonts w:ascii="Times New Roman" w:hAnsi="Times New Roman" w:cs="Times New Roman"/>
                <w:color w:val="auto"/>
              </w:rPr>
              <w:t>одетные родители, организовавшие</w:t>
            </w:r>
            <w:r w:rsidRPr="00A41902">
              <w:rPr>
                <w:rFonts w:ascii="Times New Roman" w:hAnsi="Times New Roman" w:cs="Times New Roman"/>
                <w:color w:val="auto"/>
              </w:rPr>
              <w:t xml:space="preserve"> крестьянские (фермерские) хозяйства;</w:t>
            </w:r>
          </w:p>
          <w:p w:rsidR="00B86B1C" w:rsidRPr="00A41902" w:rsidRDefault="00B86B1C" w:rsidP="00B86B1C">
            <w:pPr>
              <w:widowControl/>
              <w:rPr>
                <w:rFonts w:ascii="Times New Roman" w:hAnsi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D27F10" w:rsidRPr="00A41902">
              <w:rPr>
                <w:rFonts w:ascii="Times New Roman" w:hAnsi="Times New Roman"/>
                <w:color w:val="auto"/>
              </w:rPr>
              <w:t>Физические лица, соответствующие</w:t>
            </w:r>
            <w:r w:rsidRPr="00A41902">
              <w:rPr>
                <w:rFonts w:ascii="Times New Roman" w:hAnsi="Times New Roman"/>
                <w:color w:val="auto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  <w:p w:rsidR="003855EB" w:rsidRPr="00A41902" w:rsidRDefault="003855EB" w:rsidP="003855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 xml:space="preserve">- Налогоплательщики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</w:t>
            </w:r>
            <w:r w:rsidRPr="00A41902">
              <w:rPr>
                <w:rFonts w:ascii="Times New Roman" w:hAnsi="Times New Roman" w:cs="Times New Roman"/>
                <w:color w:val="auto"/>
              </w:rPr>
              <w:lastRenderedPageBreak/>
              <w:t>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назначения;</w:t>
            </w:r>
          </w:p>
          <w:p w:rsidR="003855EB" w:rsidRPr="00A41902" w:rsidRDefault="003855EB" w:rsidP="003855EB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- индивидуальные предприниматели, применяющие специальные налоговые режимы при одновременном соблюдении следующих условий:  имущество расположено в сельских населенных пунктах с численностью населения до 1 тысячи человек;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  <w:p w:rsidR="003855EB" w:rsidRPr="00A41902" w:rsidRDefault="003855EB" w:rsidP="003855EB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- Физические лица,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  <w:p w:rsidR="003855EB" w:rsidRPr="00A41902" w:rsidRDefault="003855EB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55EB" w:rsidRPr="00A00659" w:rsidTr="001771F6">
        <w:tc>
          <w:tcPr>
            <w:tcW w:w="567" w:type="dxa"/>
            <w:vAlign w:val="center"/>
          </w:tcPr>
          <w:p w:rsidR="003855EB" w:rsidRPr="00A41902" w:rsidRDefault="003855EB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lastRenderedPageBreak/>
              <w:t>1</w:t>
            </w:r>
          </w:p>
        </w:tc>
        <w:tc>
          <w:tcPr>
            <w:tcW w:w="15168" w:type="dxa"/>
            <w:gridSpan w:val="6"/>
            <w:vAlign w:val="center"/>
          </w:tcPr>
          <w:p w:rsidR="003855EB" w:rsidRPr="00A41902" w:rsidRDefault="003855EB" w:rsidP="00E33ACC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</w:rPr>
            </w:pPr>
            <w:r w:rsidRPr="00A41902">
              <w:t xml:space="preserve">Вид налоговой льготы: </w:t>
            </w:r>
            <w:r w:rsidRPr="00A41902">
              <w:rPr>
                <w:rFonts w:eastAsia="Times New Roman"/>
              </w:rPr>
              <w:t>освобождение от налогообложения по решениям представительного органа муниципального образования по земельному налогу</w:t>
            </w: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Pr="00A00659" w:rsidRDefault="00094665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202</w:t>
            </w:r>
            <w:r>
              <w:rPr>
                <w:szCs w:val="24"/>
              </w:rPr>
              <w:t xml:space="preserve">  </w:t>
            </w:r>
            <w:r w:rsidRPr="00A41902">
              <w:rPr>
                <w:szCs w:val="24"/>
              </w:rPr>
              <w:t>649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866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49252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250 466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Pr="00A00659" w:rsidRDefault="00094665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202</w:t>
            </w:r>
            <w:r>
              <w:rPr>
                <w:szCs w:val="24"/>
              </w:rPr>
              <w:t xml:space="preserve"> </w:t>
            </w:r>
            <w:r w:rsidRPr="00A41902">
              <w:rPr>
                <w:szCs w:val="24"/>
              </w:rPr>
              <w:t>649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866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49252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250 466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094665" w:rsidRPr="00A41902" w:rsidRDefault="0009466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094665" w:rsidRPr="00A41902" w:rsidRDefault="0009466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Pr="00A00659" w:rsidRDefault="00094665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094665" w:rsidRPr="00A41902" w:rsidRDefault="00094665" w:rsidP="00114F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49252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Default="00094665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211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49252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Pr="00A00659" w:rsidRDefault="00094665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49252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Default="00094665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16,1%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13,0%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094665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13,9%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Default="00094665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419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49252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Default="00094665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49252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Default="00094665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14,6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22,4%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094665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22,3%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55EB" w:rsidRPr="00A00659" w:rsidTr="005110B6">
        <w:tc>
          <w:tcPr>
            <w:tcW w:w="567" w:type="dxa"/>
            <w:vAlign w:val="center"/>
          </w:tcPr>
          <w:p w:rsidR="003855EB" w:rsidRPr="00A41902" w:rsidRDefault="003855EB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</w:t>
            </w:r>
          </w:p>
        </w:tc>
        <w:tc>
          <w:tcPr>
            <w:tcW w:w="15168" w:type="dxa"/>
            <w:gridSpan w:val="6"/>
            <w:vAlign w:val="center"/>
          </w:tcPr>
          <w:p w:rsidR="003855EB" w:rsidRPr="00A41902" w:rsidRDefault="003855EB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A41902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по налогу на имущество физических лиц</w:t>
            </w:r>
          </w:p>
        </w:tc>
      </w:tr>
      <w:tr w:rsidR="00094665" w:rsidRPr="00A00659" w:rsidTr="00C34D81">
        <w:tc>
          <w:tcPr>
            <w:tcW w:w="567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2.1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268" w:type="dxa"/>
            <w:gridSpan w:val="2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032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35 914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E33ACC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094665" w:rsidRPr="00A00659" w:rsidTr="00726F86">
        <w:tc>
          <w:tcPr>
            <w:tcW w:w="567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2.2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268" w:type="dxa"/>
            <w:gridSpan w:val="2"/>
          </w:tcPr>
          <w:p w:rsidR="00094665" w:rsidRPr="00A41902" w:rsidRDefault="00094665" w:rsidP="00E33ACC">
            <w:pPr>
              <w:jc w:val="center"/>
              <w:rPr>
                <w:color w:val="auto"/>
              </w:rPr>
            </w:pPr>
            <w:r w:rsidRPr="00A41902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696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12 540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094665" w:rsidRPr="00A41902" w:rsidRDefault="00094665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094665" w:rsidRPr="00A41902" w:rsidRDefault="00094665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1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094665" w:rsidRPr="00A00659" w:rsidTr="00726F86">
        <w:tc>
          <w:tcPr>
            <w:tcW w:w="567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2.3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268" w:type="dxa"/>
            <w:gridSpan w:val="2"/>
          </w:tcPr>
          <w:p w:rsidR="00094665" w:rsidRPr="00A41902" w:rsidRDefault="00094665" w:rsidP="00E33ACC">
            <w:pPr>
              <w:jc w:val="center"/>
              <w:rPr>
                <w:color w:val="auto"/>
              </w:rPr>
            </w:pPr>
            <w:r w:rsidRPr="00A41902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E33ACC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094665" w:rsidRPr="00A00659" w:rsidTr="00726F86">
        <w:tc>
          <w:tcPr>
            <w:tcW w:w="567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2.4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268" w:type="dxa"/>
            <w:gridSpan w:val="2"/>
          </w:tcPr>
          <w:p w:rsidR="00094665" w:rsidRPr="00A41902" w:rsidRDefault="00094665" w:rsidP="00E33ACC">
            <w:pPr>
              <w:jc w:val="center"/>
              <w:rPr>
                <w:color w:val="auto"/>
              </w:rPr>
            </w:pPr>
            <w:r w:rsidRPr="00A41902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726F86">
        <w:tc>
          <w:tcPr>
            <w:tcW w:w="567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2.5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268" w:type="dxa"/>
            <w:gridSpan w:val="2"/>
          </w:tcPr>
          <w:p w:rsidR="00094665" w:rsidRPr="00A41902" w:rsidRDefault="00094665" w:rsidP="00E33ACC">
            <w:pPr>
              <w:jc w:val="center"/>
              <w:rPr>
                <w:color w:val="auto"/>
              </w:rPr>
            </w:pPr>
            <w:r w:rsidRPr="00A41902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726F86">
        <w:tc>
          <w:tcPr>
            <w:tcW w:w="567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2.6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268" w:type="dxa"/>
            <w:gridSpan w:val="2"/>
          </w:tcPr>
          <w:p w:rsidR="00094665" w:rsidRPr="00A41902" w:rsidRDefault="00094665" w:rsidP="00E33ACC">
            <w:pPr>
              <w:jc w:val="center"/>
              <w:rPr>
                <w:color w:val="auto"/>
              </w:rPr>
            </w:pPr>
            <w:r w:rsidRPr="00A41902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726F86">
        <w:tc>
          <w:tcPr>
            <w:tcW w:w="567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2.7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268" w:type="dxa"/>
            <w:gridSpan w:val="2"/>
          </w:tcPr>
          <w:p w:rsidR="00094665" w:rsidRPr="00A41902" w:rsidRDefault="00094665" w:rsidP="00E33ACC">
            <w:pPr>
              <w:jc w:val="center"/>
              <w:rPr>
                <w:color w:val="auto"/>
              </w:rPr>
            </w:pPr>
            <w:r w:rsidRPr="00A41902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2268" w:type="dxa"/>
            <w:vAlign w:val="center"/>
          </w:tcPr>
          <w:p w:rsidR="00094665" w:rsidRPr="00A41902" w:rsidRDefault="00094665" w:rsidP="00CC6AB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CC6AB1">
              <w:rPr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726F86">
        <w:tc>
          <w:tcPr>
            <w:tcW w:w="567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2.8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268" w:type="dxa"/>
            <w:gridSpan w:val="2"/>
          </w:tcPr>
          <w:p w:rsidR="00094665" w:rsidRPr="00A41902" w:rsidRDefault="00094665" w:rsidP="00E33ACC">
            <w:pPr>
              <w:jc w:val="center"/>
              <w:rPr>
                <w:color w:val="auto"/>
              </w:rPr>
            </w:pPr>
            <w:r w:rsidRPr="00A41902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94665" w:rsidRPr="00A41902" w:rsidRDefault="00CC6AB1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665" w:rsidRPr="00A00659" w:rsidTr="00726F86">
        <w:tc>
          <w:tcPr>
            <w:tcW w:w="567" w:type="dxa"/>
            <w:vAlign w:val="center"/>
          </w:tcPr>
          <w:p w:rsidR="00094665" w:rsidRPr="00A41902" w:rsidRDefault="00094665" w:rsidP="00E33ACC">
            <w:pPr>
              <w:pStyle w:val="af"/>
              <w:jc w:val="center"/>
              <w:rPr>
                <w:szCs w:val="24"/>
              </w:rPr>
            </w:pPr>
            <w:r w:rsidRPr="00A41902">
              <w:rPr>
                <w:szCs w:val="24"/>
              </w:rPr>
              <w:t>2.9</w:t>
            </w:r>
          </w:p>
        </w:tc>
        <w:tc>
          <w:tcPr>
            <w:tcW w:w="4678" w:type="dxa"/>
            <w:vAlign w:val="center"/>
          </w:tcPr>
          <w:p w:rsidR="00094665" w:rsidRPr="00A41902" w:rsidRDefault="00094665" w:rsidP="00E33AC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41902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268" w:type="dxa"/>
            <w:gridSpan w:val="2"/>
          </w:tcPr>
          <w:p w:rsidR="00094665" w:rsidRPr="00A41902" w:rsidRDefault="00094665" w:rsidP="00E33ACC">
            <w:pPr>
              <w:jc w:val="center"/>
              <w:rPr>
                <w:color w:val="auto"/>
              </w:rPr>
            </w:pPr>
            <w:r w:rsidRPr="00A41902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094665" w:rsidRPr="00A41902" w:rsidRDefault="00094665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268" w:type="dxa"/>
            <w:vAlign w:val="center"/>
          </w:tcPr>
          <w:p w:rsidR="00094665" w:rsidRPr="00A41902" w:rsidRDefault="00CC6AB1" w:rsidP="00E33AC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1,1</w:t>
            </w:r>
            <w:r w:rsidR="00094665">
              <w:rPr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094665" w:rsidRPr="00A41902" w:rsidRDefault="00094665" w:rsidP="00E33AC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55EB" w:rsidRPr="00AB3811" w:rsidTr="001771F6">
        <w:tc>
          <w:tcPr>
            <w:tcW w:w="15735" w:type="dxa"/>
            <w:gridSpan w:val="7"/>
            <w:vAlign w:val="center"/>
          </w:tcPr>
          <w:p w:rsidR="003855EB" w:rsidRPr="00A41902" w:rsidRDefault="003855EB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4190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налоговые расходы</w:t>
            </w:r>
          </w:p>
        </w:tc>
      </w:tr>
      <w:tr w:rsidR="003855EB" w:rsidRPr="00AB3811" w:rsidTr="001771F6">
        <w:tc>
          <w:tcPr>
            <w:tcW w:w="567" w:type="dxa"/>
            <w:vAlign w:val="center"/>
          </w:tcPr>
          <w:p w:rsidR="003855EB" w:rsidRDefault="003855EB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6"/>
            <w:vAlign w:val="center"/>
          </w:tcPr>
          <w:p w:rsidR="003855EB" w:rsidRDefault="003855EB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3855EB" w:rsidRPr="002906EF" w:rsidRDefault="003855EB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3855EB" w:rsidRPr="00AB3811" w:rsidTr="001771F6">
        <w:tc>
          <w:tcPr>
            <w:tcW w:w="567" w:type="dxa"/>
            <w:vAlign w:val="center"/>
          </w:tcPr>
          <w:p w:rsidR="003855EB" w:rsidRDefault="003855EB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6"/>
            <w:vAlign w:val="center"/>
          </w:tcPr>
          <w:p w:rsidR="003855EB" w:rsidRPr="002906EF" w:rsidRDefault="003855EB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Pr="00A00659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E60567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100 980</w:t>
            </w:r>
          </w:p>
        </w:tc>
        <w:tc>
          <w:tcPr>
            <w:tcW w:w="2410" w:type="dxa"/>
            <w:vAlign w:val="center"/>
          </w:tcPr>
          <w:p w:rsidR="006D010C" w:rsidRPr="00E60567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104 994</w:t>
            </w:r>
          </w:p>
        </w:tc>
        <w:tc>
          <w:tcPr>
            <w:tcW w:w="2268" w:type="dxa"/>
            <w:vAlign w:val="center"/>
          </w:tcPr>
          <w:p w:rsidR="006D010C" w:rsidRPr="00E60567" w:rsidRDefault="006D010C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125 578</w:t>
            </w:r>
          </w:p>
        </w:tc>
        <w:tc>
          <w:tcPr>
            <w:tcW w:w="3544" w:type="dxa"/>
            <w:vAlign w:val="center"/>
          </w:tcPr>
          <w:p w:rsidR="006D010C" w:rsidRPr="00AB3811" w:rsidRDefault="006D010C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Pr="00A00659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1.2</w:t>
            </w:r>
          </w:p>
        </w:tc>
        <w:tc>
          <w:tcPr>
            <w:tcW w:w="4678" w:type="dxa"/>
            <w:vAlign w:val="center"/>
          </w:tcPr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E60567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13 157</w:t>
            </w:r>
          </w:p>
        </w:tc>
        <w:tc>
          <w:tcPr>
            <w:tcW w:w="2410" w:type="dxa"/>
            <w:vAlign w:val="center"/>
          </w:tcPr>
          <w:p w:rsidR="006D010C" w:rsidRPr="00E60567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15 146</w:t>
            </w:r>
          </w:p>
        </w:tc>
        <w:tc>
          <w:tcPr>
            <w:tcW w:w="2268" w:type="dxa"/>
            <w:vAlign w:val="center"/>
          </w:tcPr>
          <w:p w:rsidR="006D010C" w:rsidRPr="00E60567" w:rsidRDefault="006D010C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12 113</w:t>
            </w:r>
          </w:p>
        </w:tc>
        <w:tc>
          <w:tcPr>
            <w:tcW w:w="3544" w:type="dxa"/>
            <w:vAlign w:val="center"/>
          </w:tcPr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Pr="00A00659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6D010C" w:rsidRPr="00A00659" w:rsidRDefault="006D010C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6D010C" w:rsidRPr="002906EF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6D010C" w:rsidRPr="00AB3811" w:rsidRDefault="006D010C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Pr="00A00659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6D010C" w:rsidRPr="00A00659" w:rsidRDefault="006D010C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6D010C" w:rsidRPr="002906EF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522A09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6D010C" w:rsidRPr="00522A09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2268" w:type="dxa"/>
            <w:vAlign w:val="center"/>
          </w:tcPr>
          <w:p w:rsidR="006D010C" w:rsidRPr="00522A09" w:rsidRDefault="006D010C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3544" w:type="dxa"/>
            <w:vAlign w:val="center"/>
          </w:tcPr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Pr="00A00659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6D010C" w:rsidRPr="002906EF" w:rsidRDefault="006D010C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6D010C" w:rsidRPr="009E45CD" w:rsidRDefault="006D010C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6D010C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410" w:type="dxa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268" w:type="dxa"/>
            <w:vAlign w:val="center"/>
          </w:tcPr>
          <w:p w:rsidR="006D010C" w:rsidRPr="002906EF" w:rsidRDefault="006D010C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544" w:type="dxa"/>
            <w:vAlign w:val="center"/>
          </w:tcPr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6D010C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D010C" w:rsidRPr="002906EF" w:rsidRDefault="006D010C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6D010C" w:rsidRPr="002906EF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10C" w:rsidRPr="00AB3811" w:rsidTr="00C34D81">
        <w:tc>
          <w:tcPr>
            <w:tcW w:w="567" w:type="dxa"/>
            <w:vAlign w:val="center"/>
          </w:tcPr>
          <w:p w:rsidR="006D010C" w:rsidRDefault="006D010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:rsidR="006D010C" w:rsidRPr="00A00659" w:rsidRDefault="006D010C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268" w:type="dxa"/>
            <w:gridSpan w:val="2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410" w:type="dxa"/>
            <w:vAlign w:val="center"/>
          </w:tcPr>
          <w:p w:rsidR="006D010C" w:rsidRPr="002906EF" w:rsidRDefault="006D010C" w:rsidP="00715CE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268" w:type="dxa"/>
            <w:vAlign w:val="center"/>
          </w:tcPr>
          <w:p w:rsidR="006D010C" w:rsidRPr="002906EF" w:rsidRDefault="006D010C" w:rsidP="003E0A0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544" w:type="dxa"/>
            <w:vAlign w:val="center"/>
          </w:tcPr>
          <w:p w:rsidR="006D010C" w:rsidRPr="00AB3811" w:rsidRDefault="006D010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F20" w:rsidRDefault="00CA0F20" w:rsidP="00BD5DD4">
      <w:r>
        <w:separator/>
      </w:r>
    </w:p>
  </w:endnote>
  <w:endnote w:type="continuationSeparator" w:id="1">
    <w:p w:rsidR="00CA0F20" w:rsidRDefault="00CA0F20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F20" w:rsidRDefault="00CA0F20"/>
  </w:footnote>
  <w:footnote w:type="continuationSeparator" w:id="1">
    <w:p w:rsidR="00CA0F20" w:rsidRDefault="00CA0F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90D32"/>
    <w:rsid w:val="00091F94"/>
    <w:rsid w:val="00094665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D611E"/>
    <w:rsid w:val="001E5014"/>
    <w:rsid w:val="001E5801"/>
    <w:rsid w:val="001E72CA"/>
    <w:rsid w:val="001E7C86"/>
    <w:rsid w:val="00200426"/>
    <w:rsid w:val="00203220"/>
    <w:rsid w:val="00205781"/>
    <w:rsid w:val="0021191F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46C7"/>
    <w:rsid w:val="00257AAF"/>
    <w:rsid w:val="00264C04"/>
    <w:rsid w:val="00264FE0"/>
    <w:rsid w:val="00272F02"/>
    <w:rsid w:val="00282C5D"/>
    <w:rsid w:val="00284A4A"/>
    <w:rsid w:val="002906EF"/>
    <w:rsid w:val="0029174A"/>
    <w:rsid w:val="00294607"/>
    <w:rsid w:val="002A0D18"/>
    <w:rsid w:val="002A4DF0"/>
    <w:rsid w:val="002A509F"/>
    <w:rsid w:val="002A652B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73F81"/>
    <w:rsid w:val="00384357"/>
    <w:rsid w:val="003847FF"/>
    <w:rsid w:val="003850B1"/>
    <w:rsid w:val="003855EB"/>
    <w:rsid w:val="00392CEA"/>
    <w:rsid w:val="00393BCC"/>
    <w:rsid w:val="003B1187"/>
    <w:rsid w:val="003C2804"/>
    <w:rsid w:val="003C2E27"/>
    <w:rsid w:val="003C34F7"/>
    <w:rsid w:val="003C3EDF"/>
    <w:rsid w:val="003C529E"/>
    <w:rsid w:val="003D1F69"/>
    <w:rsid w:val="003D49C6"/>
    <w:rsid w:val="003D6054"/>
    <w:rsid w:val="003E00FE"/>
    <w:rsid w:val="003E09AF"/>
    <w:rsid w:val="003E0A07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2520"/>
    <w:rsid w:val="0049381D"/>
    <w:rsid w:val="004A0DDF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29DC"/>
    <w:rsid w:val="004F42D7"/>
    <w:rsid w:val="004F636A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093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23EEC"/>
    <w:rsid w:val="00632ECA"/>
    <w:rsid w:val="0063508E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2E39"/>
    <w:rsid w:val="006C4DC7"/>
    <w:rsid w:val="006D010C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27324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14E2"/>
    <w:rsid w:val="007C740C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D7B3C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1902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D4A03"/>
    <w:rsid w:val="00AE2996"/>
    <w:rsid w:val="00AE6F90"/>
    <w:rsid w:val="00AF0AEC"/>
    <w:rsid w:val="00AF4B04"/>
    <w:rsid w:val="00B00F50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6DE8"/>
    <w:rsid w:val="00BF5932"/>
    <w:rsid w:val="00C11354"/>
    <w:rsid w:val="00C2566F"/>
    <w:rsid w:val="00C260A4"/>
    <w:rsid w:val="00C30169"/>
    <w:rsid w:val="00C34A9D"/>
    <w:rsid w:val="00C34D81"/>
    <w:rsid w:val="00C4382E"/>
    <w:rsid w:val="00C47841"/>
    <w:rsid w:val="00C52983"/>
    <w:rsid w:val="00C53C2F"/>
    <w:rsid w:val="00C62E85"/>
    <w:rsid w:val="00C70CD9"/>
    <w:rsid w:val="00C739A4"/>
    <w:rsid w:val="00C75515"/>
    <w:rsid w:val="00C807E8"/>
    <w:rsid w:val="00C81670"/>
    <w:rsid w:val="00C830CC"/>
    <w:rsid w:val="00C8366D"/>
    <w:rsid w:val="00C94931"/>
    <w:rsid w:val="00CA0F20"/>
    <w:rsid w:val="00CA1534"/>
    <w:rsid w:val="00CA4E58"/>
    <w:rsid w:val="00CB0B60"/>
    <w:rsid w:val="00CB101D"/>
    <w:rsid w:val="00CB19F2"/>
    <w:rsid w:val="00CB1D1A"/>
    <w:rsid w:val="00CC2BCC"/>
    <w:rsid w:val="00CC57A1"/>
    <w:rsid w:val="00CC6AB1"/>
    <w:rsid w:val="00CD4C04"/>
    <w:rsid w:val="00CD5AAC"/>
    <w:rsid w:val="00CD690B"/>
    <w:rsid w:val="00CE609D"/>
    <w:rsid w:val="00CE7347"/>
    <w:rsid w:val="00CE779A"/>
    <w:rsid w:val="00CF067F"/>
    <w:rsid w:val="00CF1D8C"/>
    <w:rsid w:val="00CF7500"/>
    <w:rsid w:val="00D02FA2"/>
    <w:rsid w:val="00D1560B"/>
    <w:rsid w:val="00D23A3E"/>
    <w:rsid w:val="00D27F10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43F0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04F7"/>
    <w:rsid w:val="00E921C3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238FB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CD0D-A0DA-466D-8E6B-0C9960E7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18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128</cp:revision>
  <cp:lastPrinted>2021-08-31T06:32:00Z</cp:lastPrinted>
  <dcterms:created xsi:type="dcterms:W3CDTF">2020-09-22T09:19:00Z</dcterms:created>
  <dcterms:modified xsi:type="dcterms:W3CDTF">2025-05-29T10:30:00Z</dcterms:modified>
</cp:coreProperties>
</file>